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EC" w:rsidRPr="00632CEC" w:rsidRDefault="006C5192" w:rsidP="0063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 w:rsidR="00632CEC" w:rsidRPr="00632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экспертно-аналитического мероприятия «Оценка эффективности закупочной деятельности сельских поселений </w:t>
      </w:r>
    </w:p>
    <w:p w:rsidR="00DC3D36" w:rsidRDefault="00632CEC" w:rsidP="00632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полугодие 2019 года» </w:t>
      </w:r>
    </w:p>
    <w:p w:rsidR="006C5192" w:rsidRDefault="006C5192" w:rsidP="00DC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D36" w:rsidRPr="00DC3D36" w:rsidRDefault="006C5192" w:rsidP="00344C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192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 </w:t>
      </w:r>
      <w:r w:rsidR="00AB35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5192">
        <w:rPr>
          <w:rFonts w:ascii="Times New Roman" w:hAnsi="Times New Roman" w:cs="Times New Roman"/>
          <w:sz w:val="28"/>
          <w:szCs w:val="28"/>
        </w:rPr>
        <w:t>от 22.12.2011 № 99 «Об образовании Контрольно-счетной палаты    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</w:t>
      </w:r>
      <w:r w:rsidR="000B6374">
        <w:rPr>
          <w:rFonts w:ascii="Times New Roman" w:hAnsi="Times New Roman" w:cs="Times New Roman"/>
          <w:sz w:val="28"/>
          <w:szCs w:val="28"/>
        </w:rPr>
        <w:t>9.12</w:t>
      </w:r>
      <w:r w:rsidRPr="006C5192">
        <w:rPr>
          <w:rFonts w:ascii="Times New Roman" w:hAnsi="Times New Roman" w:cs="Times New Roman"/>
          <w:sz w:val="28"/>
          <w:szCs w:val="28"/>
        </w:rPr>
        <w:t>.201</w:t>
      </w:r>
      <w:r w:rsidR="000B6374">
        <w:rPr>
          <w:rFonts w:ascii="Times New Roman" w:hAnsi="Times New Roman" w:cs="Times New Roman"/>
          <w:sz w:val="28"/>
          <w:szCs w:val="28"/>
        </w:rPr>
        <w:t>6</w:t>
      </w:r>
      <w:r w:rsidRPr="006C5192">
        <w:rPr>
          <w:rFonts w:ascii="Times New Roman" w:hAnsi="Times New Roman" w:cs="Times New Roman"/>
          <w:sz w:val="28"/>
          <w:szCs w:val="28"/>
        </w:rPr>
        <w:t xml:space="preserve"> № 4,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B35F1">
        <w:rPr>
          <w:rFonts w:ascii="Times New Roman" w:hAnsi="Times New Roman" w:cs="Times New Roman"/>
          <w:sz w:val="28"/>
          <w:szCs w:val="28"/>
        </w:rPr>
        <w:t>ом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1.</w:t>
      </w:r>
      <w:r w:rsidR="00344C9B">
        <w:rPr>
          <w:rFonts w:ascii="Times New Roman" w:hAnsi="Times New Roman" w:cs="Times New Roman"/>
          <w:sz w:val="28"/>
          <w:szCs w:val="28"/>
        </w:rPr>
        <w:t>1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раздела I</w:t>
      </w:r>
      <w:r w:rsidR="00D4686E">
        <w:rPr>
          <w:rFonts w:ascii="Times New Roman" w:hAnsi="Times New Roman" w:cs="Times New Roman"/>
          <w:sz w:val="28"/>
          <w:szCs w:val="28"/>
        </w:rPr>
        <w:t xml:space="preserve"> 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Плана работы контрольно-счетной палаты Ханты-Мансийского района </w:t>
      </w:r>
      <w:r w:rsidR="00344C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3D36" w:rsidRPr="00DC3D36">
        <w:rPr>
          <w:rFonts w:ascii="Times New Roman" w:hAnsi="Times New Roman" w:cs="Times New Roman"/>
          <w:sz w:val="28"/>
          <w:szCs w:val="28"/>
        </w:rPr>
        <w:t>на 201</w:t>
      </w:r>
      <w:r w:rsidR="00D4686E">
        <w:rPr>
          <w:rFonts w:ascii="Times New Roman" w:hAnsi="Times New Roman" w:cs="Times New Roman"/>
          <w:sz w:val="28"/>
          <w:szCs w:val="28"/>
        </w:rPr>
        <w:t>9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год, </w:t>
      </w:r>
      <w:r w:rsidR="00344C9B" w:rsidRPr="00344C9B">
        <w:rPr>
          <w:rFonts w:ascii="Times New Roman" w:hAnsi="Times New Roman" w:cs="Times New Roman"/>
          <w:sz w:val="28"/>
          <w:szCs w:val="28"/>
        </w:rPr>
        <w:t>приказ</w:t>
      </w:r>
      <w:r w:rsidR="00344C9B">
        <w:rPr>
          <w:rFonts w:ascii="Times New Roman" w:hAnsi="Times New Roman" w:cs="Times New Roman"/>
          <w:sz w:val="28"/>
          <w:szCs w:val="28"/>
        </w:rPr>
        <w:t>ом</w:t>
      </w:r>
      <w:r w:rsidR="00344C9B" w:rsidRPr="00344C9B">
        <w:rPr>
          <w:rFonts w:ascii="Times New Roman" w:hAnsi="Times New Roman" w:cs="Times New Roman"/>
          <w:sz w:val="28"/>
          <w:szCs w:val="28"/>
        </w:rPr>
        <w:t xml:space="preserve"> о проведении  экспертно-аналитического мероприятия от 05 сентября 2019 года № 24</w:t>
      </w:r>
      <w:r w:rsidR="00344C9B">
        <w:rPr>
          <w:rFonts w:ascii="Times New Roman" w:hAnsi="Times New Roman" w:cs="Times New Roman"/>
          <w:sz w:val="28"/>
          <w:szCs w:val="28"/>
        </w:rPr>
        <w:t xml:space="preserve"> </w:t>
      </w:r>
      <w:r w:rsidR="00AB35F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44C9B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</w:t>
      </w:r>
      <w:r w:rsidR="00344C9B" w:rsidRPr="00344C9B">
        <w:rPr>
          <w:rFonts w:ascii="Times New Roman" w:hAnsi="Times New Roman" w:cs="Times New Roman"/>
          <w:sz w:val="28"/>
          <w:szCs w:val="28"/>
        </w:rPr>
        <w:t>«Оценка эффективности закупочной</w:t>
      </w:r>
      <w:proofErr w:type="gramEnd"/>
      <w:r w:rsidR="00344C9B" w:rsidRPr="00344C9B">
        <w:rPr>
          <w:rFonts w:ascii="Times New Roman" w:hAnsi="Times New Roman" w:cs="Times New Roman"/>
          <w:sz w:val="28"/>
          <w:szCs w:val="28"/>
        </w:rPr>
        <w:t xml:space="preserve"> деятельности сельских поселений за 1 полугодие 2019 года» </w:t>
      </w:r>
      <w:r w:rsidR="00344C9B">
        <w:rPr>
          <w:rFonts w:ascii="Times New Roman" w:hAnsi="Times New Roman" w:cs="Times New Roman"/>
          <w:sz w:val="28"/>
          <w:szCs w:val="28"/>
        </w:rPr>
        <w:t>за 1 полугодие 2019 года.</w:t>
      </w:r>
    </w:p>
    <w:p w:rsidR="00344C9B" w:rsidRPr="00275973" w:rsidRDefault="00AF1D9E" w:rsidP="003850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344C9B" w:rsidRPr="0090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</w:t>
      </w:r>
      <w:r w:rsidR="00344C9B" w:rsidRPr="00906E5E">
        <w:rPr>
          <w:b/>
        </w:rPr>
        <w:t xml:space="preserve"> </w:t>
      </w:r>
      <w:r w:rsidR="00344C9B" w:rsidRPr="0090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 установлено следующее: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Объектами экспертно-аналитического мероприятия «Оценка эффективности закупочной деятельности сельских поселений за 1 полугодие 2019 года» являлось 26 юридических лиц, в том числе: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администраций сельских поселений (далее –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14 подведомственных учреждений.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 Кедровый,  МУК «Сельский дом культуры и досуга»  п. Кедровый, АСП </w:t>
      </w:r>
      <w:proofErr w:type="spell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МКУК «Сельский дом культуры </w:t>
      </w:r>
      <w:proofErr w:type="spell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расноленинский</w:t>
      </w:r>
      <w:proofErr w:type="spell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 сформирована  и не представлена в полном объеме истребованная информация,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связи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анализ, охватывающий всю деятельность АСП </w:t>
      </w:r>
      <w:r w:rsidR="003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подведомственных учреждений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является неполным. 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Общий объем финансирования (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сельское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Кедровый и сельское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закупку товаров, работ, услуг на начало года составлял – 138 992,00 тыс. рублей, на конец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259 714,2 тыс. рублей. При этом</w:t>
      </w:r>
      <w:proofErr w:type="gram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совокупного годового объема закупок  произошло при одновременном изменении структуры расходов.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корректировке расходных расписаний в 1 полугодии 2019 года,                 в части изменения объемов финансирования при одновременном изменении количества финансируемых объектов, изменение составило 186,9 % 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120 722,2 тыс. рублей, в том числе: администрации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- 201,1 % или 102 969,0 тыс. рублей, подведомственные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147,9 % или  17 753,1 тыс. рублей.  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увеличения СГОЗ по сравнению с началом отчетного периода почти в два раза, снижается эффективность закупок, поскольку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позволяет своевременно </w:t>
      </w:r>
      <w:proofErr w:type="gram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проводить</w:t>
      </w:r>
      <w:proofErr w:type="gram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закупочные процедуры </w:t>
      </w:r>
      <w:r w:rsidR="003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оказывает влияние на своевременность исполнения контрактов.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Фактическое исполнение бюджета, в части освоения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закупки по 10 сельским поселениям составило 30,52 % или </w:t>
      </w:r>
      <w:r w:rsidR="003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79 269,9 тыс. рублей, при этом исполнение по администрациям сельских поселений составило 28,52 % или 58 426,57 тыс. рублей, а по учреждениям </w:t>
      </w:r>
      <w:r w:rsidR="003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38,0 % или 20 843,37 тыс. рублей.</w:t>
      </w:r>
    </w:p>
    <w:p w:rsidR="00344C9B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сопоставлении данных СГОЗ на начало и конец отчетного периода  и фактического исполнения имеет место устойчивая тенденция недостаточного освоения средств, направленных на проведение закупочной деятельности, при этом у АСП этот показатель значительно меньше, чем у подведомственных учреждений.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исполнение СГОЗ АСП </w:t>
      </w:r>
      <w:proofErr w:type="spell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                за 1 полугодие 2019 года - 20,03 % от запланированного, присутствуют признаки неэффективного планирования расходов, слабого обоснования закупок, отсутствия целесообразности направления средств на цели закупок, </w:t>
      </w:r>
      <w:r w:rsidR="003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следствие незначительная результативность.</w:t>
      </w:r>
    </w:p>
    <w:p w:rsidR="00344C9B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подведомственным учреждениям исполнение находится                           на уровне 49,22 % у МБУК «БС </w:t>
      </w:r>
      <w:proofErr w:type="spell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43,31 %                                 у МБУ КДЦ Геолог, что </w:t>
      </w:r>
      <w:proofErr w:type="gram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омически обоснованной величиной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свидетельствует</w:t>
      </w:r>
      <w:proofErr w:type="gram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взвешенном и обоснованном подходе при планировании </w:t>
      </w:r>
      <w:r w:rsidR="003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исполнении бюджета.</w:t>
      </w:r>
    </w:p>
    <w:p w:rsidR="00344C9B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информацией о планируемых и оплаченных закупках товаров, работ, услуг, в период с 01.01.2019 по 01.07.2019, у АСП Луговской равномерное исполнение кассовых расходов, в части закупочной деятельности, которое составило - 47,33 %).</w:t>
      </w:r>
      <w:proofErr w:type="gram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proofErr w:type="gram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сельском поселении слабое исполнение показывает МБУК «Дружба» – 29,05 %.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равномерное исполнение кассовых расходов, в части закупочной деятельности, у АСП </w:t>
      </w:r>
      <w:proofErr w:type="spell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составило – 49,87 %,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МКУК "Сельский дом культуры и досуга"  – 55,48 %, что свидетельствует </w:t>
      </w:r>
      <w:r w:rsidR="003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взвешенном и обоснованном подходе при планировании и исполнении бюджета.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АСП </w:t>
      </w:r>
      <w:proofErr w:type="spell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еще одно подведомственное учреждение - МКУ «Чистые улицы сельского поселения </w:t>
      </w:r>
      <w:proofErr w:type="spell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                            в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фактически отсутствует какая -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деятельность. В ЕИС,                        в реестре зарегистрированных организаций, данное учреждение                             не зарегистрировано.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Фактическое исполнение у АСП </w:t>
      </w:r>
      <w:proofErr w:type="spell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- 33,35 %,                </w:t>
      </w:r>
      <w:proofErr w:type="gram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«Сельский дом культуры и досуга» - 37,87 %, что является недостаточно приемлемым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соблюдения принципов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фективности                       и результативности,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критичным.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информацией о планируемых и оплаченных закупках товаров, работ, услуг, в период с 01.01.2019 по 01.07.2019, у АСП </w:t>
      </w:r>
      <w:proofErr w:type="spell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исполнение составило - 7,43 %, по муниципальному учреждению культуры  – 26,71 %.  Из всех рассматриваемых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поселении самый низкий процент исполнения бюджета, что свидетельствует о слабом  процессе организации закупочной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также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неэффективном, несвоевременном  использовании заказчиком бюджетных средств, предназначенных для</w:t>
      </w:r>
      <w:proofErr w:type="gram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закупочной деятельности.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Фактическое исполнение у АСП Сибирский составило 45,9 %,                 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«Культурно-Досуговый центр «Гармония» - 43,9 %, что является достаточно оптимистичным  показателем, как по АСП,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подведомственному учреждению,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свидетельствует о взвешенном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обоснованном </w:t>
      </w:r>
      <w:proofErr w:type="gram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подходе</w:t>
      </w:r>
      <w:proofErr w:type="gram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планировании и исполнении бюджета.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информацией о планируемых и оплаченных закупках товаров, работ, услуг, в период с 01.01.2019 по 01.07.2019, у АСП </w:t>
      </w:r>
      <w:proofErr w:type="spell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фактическое исполнение составило 33,42 %,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«Сельский дом культуры и досуга» - 17,93 %.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рассматриваемых учреждений показатель исполнения является самым низким и свидетельствует о слабом процессе организации закупочной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эффективном, несвоевременном использовании заказчиком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предназначенных для осуществления закупочной</w:t>
      </w:r>
      <w:proofErr w:type="gram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Фактическое исполнение у АСП </w:t>
      </w:r>
      <w:proofErr w:type="spell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составило 16,99 %,                   по МКУК СДКД с. </w:t>
      </w:r>
      <w:proofErr w:type="spell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42,41 %. В АСП, в связи с низким исполнением, присутствуют признаки неэффективного планирования расходов, и как следствие незначительная результативность. 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информацией о планируемых и оплаченных закупках товаров, работ, услуг, в период с 01.01.2019 по 01.07.2019, у АСП </w:t>
      </w:r>
      <w:proofErr w:type="spell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исполнение составило 29,44 %, по МУК «Сельский дом культуры и досуга»  п. </w:t>
      </w:r>
      <w:proofErr w:type="spell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 по факту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57,15 %. Имее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планирования расходов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следствие низкое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  <w:proofErr w:type="gramEnd"/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Фактическое исполнение у АСП Кышик составило 34,95 %,                 </w:t>
      </w:r>
      <w:proofErr w:type="gram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</w:t>
      </w:r>
      <w:proofErr w:type="gram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"Культурно-спортивный комплекс Кышик" исполнение                          по факту составило 49,13 %.  Таким образом,  планирование и исполнение бюджета в части закупочной деятельности находится на приемлемом уровне.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рассмотренных заказчиков (10 АСП и 11 учреждений):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8 заказчиков фактическое исполнение СГОЗ за 6 месяцев составило менее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40 %, при этом у 3 исполнение менее 20 % (АСП </w:t>
      </w:r>
      <w:proofErr w:type="spell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7,43 %,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 </w:t>
      </w:r>
      <w:proofErr w:type="spell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16,99 %, МУК «Сельский дом культуры и досуга»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- 17,93 %).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два сельских поселения (сельское поселение Кедровый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сельское поселение </w:t>
      </w:r>
      <w:proofErr w:type="spell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представили в полном объеме информацию, данный обзор является не полным, но  в  целом отображает общую тенденцию закупочной деятельности по сельским поселениям,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 слабую организацию процесса планирования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неэффективное, несвоевременное  использование заказчиками бюджетных средств, предназначенных для осуществления закупок.  </w:t>
      </w:r>
      <w:proofErr w:type="gramEnd"/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информации, представленной администрациями сельских поселений, с учетом их подведомственных учреждений,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 РФ от 05.04.2013 № 44-ФЗ «О контрактной системе </w:t>
      </w:r>
      <w:r w:rsidR="003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B3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сфере закупок товаров, работ, услуг для </w:t>
      </w:r>
      <w:r w:rsidRPr="00473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государственных                  и муниципальных нужд» (далее - Федеральным закон  № 44-ФЗ, Закон                     № 44-ФЗ, Закон о контрактной системе), всего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I полугодие 2019 года заключено контрактов (договоров), 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111 431,69 тыс</w:t>
      </w:r>
      <w:proofErr w:type="gram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в том числе: администрации сельских поселений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77 716,85 тыс. рублей, подведомственные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33 714,84 тыс. рублей. 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закупок у единственного поставщика в общих закупках составляет 84,25 %.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эффективности закупок не способствуют факты дробления (приобретение однородных товаров на мелкие суммы у одного и того же поставщика) закупок, которые хоть и не противоречат законодательству, </w:t>
      </w:r>
      <w:r w:rsidR="003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снижают долю конкурентных закупок, являющихся основным показателем эффективности закупок и могут быть расценены как неправильный способ выбора поставщика.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сопоставлении суммы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заключенных контрактов на услуги                      – 50 917,85 тыс. рублей и суммы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совокупного годового объема закупок (далее –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коммунальные услуги и работы, услуги по содержанию </w:t>
      </w:r>
      <w:r w:rsidRPr="003B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– 169 517,35 тыс. рублей имеет место тенденция, когда  сумма заключенных контрактов на год меньше суммы СГОЗ, по состоянию на 01.07.2019, </w:t>
      </w:r>
      <w:r w:rsidR="003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B11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 30,0 %.  При сопоставлении общей суммы заключенных контрактов – 111 431,69 тыс</w:t>
      </w:r>
      <w:proofErr w:type="gramEnd"/>
      <w:r w:rsidRPr="003B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и СГОЗ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01.07.2019 </w:t>
      </w:r>
      <w:r w:rsidR="003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3B11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259 714,18 тыс. рублей,  доля всей суммы заключенных контрактов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Pr="003B11AD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СГОЗ  за 1 полугодие 2019 года  составила 42,9 %.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4C9B" w:rsidRPr="003B11AD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финансовые средства доводятся не в полном объеме                </w:t>
      </w:r>
      <w:r w:rsidRPr="003B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корректируются в течение года, в интересах заказчика заключить контракты на выделенные финансовые средства в полном объеме, например: </w:t>
      </w:r>
      <w:r w:rsidR="003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B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коммунальные услуги, и в текущем режиме выполнять обязательства                    в течение года, таким образом, будут соблюдены принципы своевременности, эффективности и результативности расходов на закупки. </w:t>
      </w:r>
      <w:proofErr w:type="gramEnd"/>
    </w:p>
    <w:p w:rsidR="00344C9B" w:rsidRPr="003B11AD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Доля конкурентных закупок, заключенных в 2018 году                              и оплаченных в 2019 году, от всех оплаченных контрактов составляет            </w:t>
      </w:r>
      <w:proofErr w:type="gramStart"/>
      <w:r w:rsidRPr="003B11AD">
        <w:rPr>
          <w:rFonts w:ascii="Times New Roman" w:eastAsia="Times New Roman" w:hAnsi="Times New Roman" w:cs="Times New Roman"/>
          <w:sz w:val="28"/>
          <w:szCs w:val="28"/>
          <w:lang w:eastAsia="ru-RU"/>
        </w:rPr>
        <w:t>67,3</w:t>
      </w:r>
      <w:proofErr w:type="gramEnd"/>
      <w:r w:rsidRPr="003B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таким образом, основные конкурентные процедуры проводились                    во втором полугодии 2018 года, аналогичная тенденция сохраняется                                и в 2019 году, что является отрицательным фактором, в части нарушения принципа своевременности, при осуществлении финансово-хозяйственной деятельности.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закупок у единственного поставщика, заключенных в 2018 году              и оплаченных в 2019 году, от всех оплаченных контрактов составляет                2,7 %, то есть почти все контракты с единственным поставщиком были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заключены, исполнены и оплачены в предыдущем году, что </w:t>
      </w:r>
      <w:proofErr w:type="gram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положительным фактором и свидетельствует</w:t>
      </w:r>
      <w:proofErr w:type="gram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соблюдении принципа своевременности расходов на закупки.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проведении конкурентных процедур заказчиками суммарная начальная максимальная цена контрактов  составила 26 087,39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том числе: по состоявшимся процедурам – 11 211,93 тыс. рублей,                                  по несостоявшимся процедурам – 14 875,46 тыс. рублей. </w:t>
      </w:r>
      <w:proofErr w:type="gram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заключенных контрактов составила – 23 325,04 тыс. рублей, в том числе: по состоявшимся процедурам – 10 942,28 тыс. рублей, по несостоявшимся процедурам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12 382,76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снижение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максимальной цены контрактов (далее –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НМЦК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торгах составило 2 762,35 тыс. рублей или на 10,6 % от НМЦК, в том числе: по состоявшимся процедурам </w:t>
      </w:r>
      <w:r w:rsidR="003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2 734,55 тыс. рублей или на 24,4 % от</w:t>
      </w:r>
      <w:proofErr w:type="gram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НМЦК, по несостоявшимся процедурам – 27,8 тыс. рублей или на 0,2 % от НМЦК.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24 размещенных в ЕИС извещений по 10 не были заключены контракты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заказчиками в недостаточной степени ведется работа по установлению обоснованной НМЦК, подготовки технических заданий и требований к участникам. АСП </w:t>
      </w:r>
      <w:proofErr w:type="spell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АСП </w:t>
      </w:r>
      <w:proofErr w:type="spell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АСП </w:t>
      </w:r>
      <w:proofErr w:type="spell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АСП </w:t>
      </w:r>
      <w:proofErr w:type="spell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электронные аукционы повторно на один  и тот же вид закупок.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эффективными являются состоявшиеся закупки, где </w:t>
      </w:r>
      <w:proofErr w:type="gram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заявлялся</w:t>
      </w:r>
      <w:proofErr w:type="gram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один участник или признан соответствующим требованиям только один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не наблюдалось снижение НМЦК.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7. У 10 муниципальных заказчиков отсутствуют отчеты о закупках                    у</w:t>
      </w:r>
      <w:r w:rsidRPr="00ED7C89">
        <w:t xml:space="preserve"> </w:t>
      </w:r>
      <w:r w:rsidRPr="00ED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предпринимательства и социально ориентированных некоммерческих организаций (далее -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СМП и СОНО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3 муниципальных заказчиков отчеты размещены в единой информационной системе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срока.</w:t>
      </w:r>
    </w:p>
    <w:p w:rsidR="00344C9B" w:rsidRPr="0005793F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Имеет место случай предоставления информации, противоречащей нормам законодательства о контрактной системе – представлена информация о деятельности МУК "Культурно-спортивный комплекс Кышик", где контракты  заключены на общую сумму  2 771,2 тыс. рублей, а  СГОЗ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01.07.2019 составил 1 768 тыс. рублей, что составляет </w:t>
      </w:r>
      <w:proofErr w:type="gramStart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156,7</w:t>
      </w:r>
      <w:proofErr w:type="gramEnd"/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то есть, представлена информация о сумме заключенных контрактах, значительно превышающая выделенные финансовые средства. </w:t>
      </w:r>
    </w:p>
    <w:p w:rsidR="00344C9B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данного факта присутствуют риски предоставления объектами аудита недостоверной информации, в связи с имеющимися ошибками в представляемых сведениях  о закупках.</w:t>
      </w:r>
    </w:p>
    <w:p w:rsidR="00344C9B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9B" w:rsidRPr="00344C9B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Предложения:</w:t>
      </w:r>
    </w:p>
    <w:p w:rsidR="00344C9B" w:rsidRPr="00344C9B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9B" w:rsidRPr="00344C9B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АСП Кедровый,  МУК «Сельский дом культуры и досуга»  </w:t>
      </w:r>
      <w:r w:rsidR="003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п. Кедровый, АСП </w:t>
      </w:r>
      <w:proofErr w:type="spellStart"/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МКУК «Сельский дом культуры </w:t>
      </w:r>
      <w:proofErr w:type="spellStart"/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расноленинский</w:t>
      </w:r>
      <w:proofErr w:type="spellEnd"/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рассмотреть вопрос о реализации своих полномочий, предусмотренных Бюджетным кодексом РФ и Законом о контрактной системе, путем передачи на уровень администрации Ханты-Мансийского района.</w:t>
      </w:r>
    </w:p>
    <w:p w:rsidR="00344C9B" w:rsidRPr="00344C9B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Уменьшить количество корректировок расходных расписаний                     в части изменения объемов финансирования при одновременном изменении количества финансируемых объектов, в том числе по администрациям сельских поселений и по подведомственным учреждениям.  </w:t>
      </w:r>
    </w:p>
    <w:p w:rsidR="00344C9B" w:rsidRPr="00344C9B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Обратить пристальное внимание на систему планирования, с целью снижения объемов доведенных финансовых средств бюджетополучателям                по сравнению с началом отчетного периода, тем самым увеличивая эффективность закупок, поскольку своевременное планирование                               и проведение закупочных процедур оказывает влияние                                        на своевременность исполнения контрактов.</w:t>
      </w:r>
    </w:p>
    <w:p w:rsidR="00344C9B" w:rsidRPr="00344C9B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Сельским поселениям, на постоянной основе, осуществлять  анализ кассового исполнения расходов, предназначенных для осуществления закупок на определенные цели, при этом рассмотреть вопрос  о целесообразности, своевременном, эффективном и результативном исполнении заказчиками муниципальных контрактов, направленных на осуществление конкретных целей и задач. </w:t>
      </w:r>
    </w:p>
    <w:p w:rsidR="00344C9B" w:rsidRPr="00344C9B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заказчикам заключать контракты в пределах доведенных лимитов в полном объеме, например: коммунальные услуги, таким образом, будут соблюдены принципы своевременности, эффективности </w:t>
      </w:r>
      <w:r w:rsidR="003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результативности расходов на закупки.</w:t>
      </w:r>
    </w:p>
    <w:p w:rsidR="00344C9B" w:rsidRPr="00344C9B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Заказчикам необходимо активизировать деятельность в части увеличения количества конкурентных процедур, проводимых в первом полугодии.</w:t>
      </w:r>
    </w:p>
    <w:p w:rsidR="00344C9B" w:rsidRPr="00344C9B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Заказчикам активизировать работу в части установления обоснованной НМЦК, подготовки технических заданий и требований к участникам.  АСП </w:t>
      </w:r>
      <w:proofErr w:type="spellStart"/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АСП </w:t>
      </w:r>
      <w:proofErr w:type="spellStart"/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АСП </w:t>
      </w:r>
      <w:proofErr w:type="spellStart"/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АСП </w:t>
      </w:r>
      <w:proofErr w:type="spellStart"/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пристальное внимание на причины проведения повторных процедур на тот же вид закупок и установить факторы, влияющие на неэффективную </w:t>
      </w:r>
      <w:r w:rsidR="003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нерезультативную организацию закупочной деятельности.</w:t>
      </w:r>
    </w:p>
    <w:p w:rsidR="00344C9B" w:rsidRPr="00344C9B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Муниципальным заказчикам своевременно размещать отчеты                  о закупках у СМП и СОНО.</w:t>
      </w:r>
    </w:p>
    <w:p w:rsidR="00344C9B" w:rsidRPr="00344C9B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>8. АСП Кышик, совместно с  МУК "Культурно-спортивный комплекс Кышик" проанализировать информацию о заключенных контрактах, превышающих выделенные финансовые средства, не допускать искажения информации.</w:t>
      </w:r>
    </w:p>
    <w:p w:rsidR="00344C9B" w:rsidRPr="00344C9B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АСП </w:t>
      </w:r>
      <w:proofErr w:type="spellStart"/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вопрос о регистрации в ЕИС МКУ «Чистые улицы сельского поселения </w:t>
      </w:r>
      <w:proofErr w:type="spellStart"/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о прекращении деятельности обозначенного учреждения.</w:t>
      </w:r>
    </w:p>
    <w:p w:rsidR="00344C9B" w:rsidRPr="00344C9B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повышения эффективности закупочной деятельности муниципальным заказчикам рассмотреть вопрос о снижении доли закупок                             у единственного поставщика в общих закупках.</w:t>
      </w:r>
    </w:p>
    <w:p w:rsidR="00344C9B" w:rsidRDefault="00344C9B" w:rsidP="00344C9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</w:t>
      </w:r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исключения фактов привлечения администраций сельских поселений и их подведомственных учреждений  к административной ответственности, рекомендуется заключить  в рамках статьи 26 Федерального закона № 44-ФЗ, с комитетом  по финансам администрации Ханты-Мансийского района, уполномоченным  на определение поставщиков (подрядчиков, исполнителей)  для муниципальных заказчиков, муниципальных казенных учреждений, бюджетных учреждений, автономных учреждений, муниципальных предприятий Ханты-Мансийского района и иных юридических </w:t>
      </w:r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лиц, </w:t>
      </w:r>
      <w:bookmarkStart w:id="0" w:name="_GoBack"/>
      <w:bookmarkEnd w:id="0"/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являющихся муниципальными учреждениями и</w:t>
      </w:r>
      <w:proofErr w:type="gramEnd"/>
      <w:r w:rsidRPr="003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унитарными предприятиями Ханты-Мансийского района, в условиях централизованных закупок, соглашений для осуществления полномочий                  на определение поставщиков (подрядчиков, исполнителей).</w:t>
      </w:r>
    </w:p>
    <w:p w:rsidR="00344C9B" w:rsidRPr="00DC3D36" w:rsidRDefault="00344C9B" w:rsidP="00404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70" w:rsidRDefault="00E53070" w:rsidP="00F75D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E5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3FF4"/>
    <w:multiLevelType w:val="hybridMultilevel"/>
    <w:tmpl w:val="60D8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21"/>
    <w:rsid w:val="000123ED"/>
    <w:rsid w:val="000133C8"/>
    <w:rsid w:val="00014BA7"/>
    <w:rsid w:val="00015E2F"/>
    <w:rsid w:val="000A5F82"/>
    <w:rsid w:val="000B6374"/>
    <w:rsid w:val="000C2552"/>
    <w:rsid w:val="000F7CD9"/>
    <w:rsid w:val="00154BE1"/>
    <w:rsid w:val="001E1A3D"/>
    <w:rsid w:val="002E2EE6"/>
    <w:rsid w:val="002F5013"/>
    <w:rsid w:val="00311959"/>
    <w:rsid w:val="00314757"/>
    <w:rsid w:val="00344C9B"/>
    <w:rsid w:val="003500EA"/>
    <w:rsid w:val="003755A9"/>
    <w:rsid w:val="00385091"/>
    <w:rsid w:val="003D2186"/>
    <w:rsid w:val="003E0853"/>
    <w:rsid w:val="003F7309"/>
    <w:rsid w:val="00404A95"/>
    <w:rsid w:val="00453C14"/>
    <w:rsid w:val="00457D33"/>
    <w:rsid w:val="00471007"/>
    <w:rsid w:val="0049693E"/>
    <w:rsid w:val="004B1B3F"/>
    <w:rsid w:val="00607621"/>
    <w:rsid w:val="00632CEC"/>
    <w:rsid w:val="00653E54"/>
    <w:rsid w:val="00674A83"/>
    <w:rsid w:val="00675FC0"/>
    <w:rsid w:val="00681C50"/>
    <w:rsid w:val="006A1FD2"/>
    <w:rsid w:val="006C5192"/>
    <w:rsid w:val="006C5F0E"/>
    <w:rsid w:val="006D0D6B"/>
    <w:rsid w:val="006E2FD4"/>
    <w:rsid w:val="00715BA3"/>
    <w:rsid w:val="00726C64"/>
    <w:rsid w:val="00742F4C"/>
    <w:rsid w:val="007A5672"/>
    <w:rsid w:val="007C1D5D"/>
    <w:rsid w:val="007D50AD"/>
    <w:rsid w:val="007E0D88"/>
    <w:rsid w:val="007E5F43"/>
    <w:rsid w:val="00874A9A"/>
    <w:rsid w:val="008A23A0"/>
    <w:rsid w:val="008D3695"/>
    <w:rsid w:val="008F6E48"/>
    <w:rsid w:val="00906E5E"/>
    <w:rsid w:val="00935499"/>
    <w:rsid w:val="0094733D"/>
    <w:rsid w:val="00991130"/>
    <w:rsid w:val="00995748"/>
    <w:rsid w:val="009D4564"/>
    <w:rsid w:val="00AB35F1"/>
    <w:rsid w:val="00AF1D9E"/>
    <w:rsid w:val="00B217B1"/>
    <w:rsid w:val="00B2441A"/>
    <w:rsid w:val="00B82EE1"/>
    <w:rsid w:val="00BA5D0B"/>
    <w:rsid w:val="00BC2832"/>
    <w:rsid w:val="00BC72A2"/>
    <w:rsid w:val="00C01C98"/>
    <w:rsid w:val="00C217FD"/>
    <w:rsid w:val="00C85F34"/>
    <w:rsid w:val="00CC1CB3"/>
    <w:rsid w:val="00D4204F"/>
    <w:rsid w:val="00D43191"/>
    <w:rsid w:val="00D4686E"/>
    <w:rsid w:val="00D66712"/>
    <w:rsid w:val="00DA070F"/>
    <w:rsid w:val="00DB4E98"/>
    <w:rsid w:val="00DC3D36"/>
    <w:rsid w:val="00E10717"/>
    <w:rsid w:val="00E53070"/>
    <w:rsid w:val="00E641C4"/>
    <w:rsid w:val="00E65082"/>
    <w:rsid w:val="00EC7009"/>
    <w:rsid w:val="00ED6CD8"/>
    <w:rsid w:val="00F45CA0"/>
    <w:rsid w:val="00F51CED"/>
    <w:rsid w:val="00F64865"/>
    <w:rsid w:val="00F75D7B"/>
    <w:rsid w:val="00F9792A"/>
    <w:rsid w:val="00FA558C"/>
    <w:rsid w:val="00FB7E2D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Косовцева В.П.</dc:creator>
  <cp:keywords/>
  <dc:description/>
  <cp:lastModifiedBy>Косовцева В.П.</cp:lastModifiedBy>
  <cp:revision>80</cp:revision>
  <dcterms:created xsi:type="dcterms:W3CDTF">2018-10-12T09:52:00Z</dcterms:created>
  <dcterms:modified xsi:type="dcterms:W3CDTF">2019-12-19T09:36:00Z</dcterms:modified>
</cp:coreProperties>
</file>